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855" w:rsidRDefault="00E37855" w:rsidP="008C7906">
      <w:pPr>
        <w:pStyle w:val="berschrift2ohne"/>
        <w:rPr>
          <w:rFonts w:ascii="Trebuchet MS" w:hAnsi="Trebuchet MS"/>
        </w:rPr>
      </w:pPr>
      <w:bookmarkStart w:id="0" w:name="_Toc357589026"/>
      <w:bookmarkStart w:id="1" w:name="_Toc358194440"/>
      <w:bookmarkStart w:id="2" w:name="_Ref359256794"/>
      <w:bookmarkStart w:id="3" w:name="_Toc359417824"/>
      <w:bookmarkStart w:id="4" w:name="_Toc359417978"/>
      <w:bookmarkStart w:id="5" w:name="_Toc362451167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65DBEEF5" wp14:editId="416B2437">
            <wp:simplePos x="0" y="0"/>
            <wp:positionH relativeFrom="column">
              <wp:posOffset>2745979</wp:posOffset>
            </wp:positionH>
            <wp:positionV relativeFrom="paragraph">
              <wp:posOffset>-587163</wp:posOffset>
            </wp:positionV>
            <wp:extent cx="3524250" cy="685800"/>
            <wp:effectExtent l="0" t="0" r="0" b="0"/>
            <wp:wrapNone/>
            <wp:docPr id="1" name="Picture 1" descr="Central logo_daily 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tral logo_daily us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7855" w:rsidRPr="00E37855" w:rsidRDefault="00E37855" w:rsidP="00E37855">
      <w:pPr>
        <w:jc w:val="center"/>
        <w:rPr>
          <w:rFonts w:ascii="Trebuchet MS" w:hAnsi="Trebuchet MS"/>
          <w:b/>
          <w:sz w:val="22"/>
        </w:rPr>
      </w:pPr>
      <w:r>
        <w:rPr>
          <w:rFonts w:ascii="Trebuchet MS" w:hAnsi="Trebuchet MS"/>
          <w:b/>
          <w:sz w:val="22"/>
        </w:rPr>
        <w:t>Program CENTRAL EUROPE 2020</w:t>
      </w:r>
    </w:p>
    <w:p w:rsidR="008C7906" w:rsidRPr="00E37855" w:rsidRDefault="008C7906" w:rsidP="00E37855">
      <w:pPr>
        <w:jc w:val="left"/>
        <w:rPr>
          <w:rFonts w:ascii="Trebuchet MS" w:hAnsi="Trebuchet MS"/>
          <w:b/>
          <w:sz w:val="22"/>
        </w:rPr>
      </w:pPr>
      <w:r>
        <w:rPr>
          <w:rFonts w:ascii="Trebuchet MS" w:hAnsi="Trebuchet MS"/>
          <w:b/>
          <w:sz w:val="22"/>
        </w:rPr>
        <w:t>Příloha č. 04: Tabulka pro odůvodnění výběru nebo zamítnutí tematických cílů</w:t>
      </w:r>
      <w:bookmarkEnd w:id="0"/>
      <w:bookmarkEnd w:id="1"/>
      <w:bookmarkEnd w:id="2"/>
      <w:bookmarkEnd w:id="3"/>
      <w:bookmarkEnd w:id="4"/>
      <w:bookmarkEnd w:id="5"/>
    </w:p>
    <w:tbl>
      <w:tblPr>
        <w:tblW w:w="4941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7"/>
        <w:gridCol w:w="3544"/>
        <w:gridCol w:w="3401"/>
        <w:gridCol w:w="4819"/>
      </w:tblGrid>
      <w:tr w:rsidR="008C7906" w:rsidRPr="008C7906" w:rsidTr="00E37855">
        <w:trPr>
          <w:trHeight w:val="20"/>
          <w:tblHeader/>
        </w:trPr>
        <w:tc>
          <w:tcPr>
            <w:tcW w:w="867" w:type="pct"/>
            <w:shd w:val="clear" w:color="auto" w:fill="DBE5F1" w:themeFill="accent1" w:themeFillTint="33"/>
            <w:hideMark/>
          </w:tcPr>
          <w:p w:rsidR="008C7906" w:rsidRPr="008C7906" w:rsidRDefault="008C7906" w:rsidP="00DD5B9F">
            <w:pPr>
              <w:pStyle w:val="Tabelle"/>
              <w:rPr>
                <w:rFonts w:ascii="Trebuchet MS" w:hAnsi="Trebuchet MS"/>
                <w:b/>
                <w:bCs/>
                <w:szCs w:val="22"/>
              </w:rPr>
            </w:pPr>
            <w:r>
              <w:rPr>
                <w:rFonts w:ascii="Trebuchet MS" w:hAnsi="Trebuchet MS"/>
                <w:b/>
              </w:rPr>
              <w:t>Tematický cíl (TC)</w:t>
            </w:r>
          </w:p>
        </w:tc>
        <w:tc>
          <w:tcPr>
            <w:tcW w:w="1245" w:type="pct"/>
            <w:shd w:val="clear" w:color="auto" w:fill="DBE5F1" w:themeFill="accent1" w:themeFillTint="33"/>
            <w:hideMark/>
          </w:tcPr>
          <w:p w:rsidR="008C7906" w:rsidRPr="008C7906" w:rsidRDefault="008C7906" w:rsidP="00DD5B9F">
            <w:pPr>
              <w:pStyle w:val="Tabelle"/>
              <w:rPr>
                <w:rFonts w:ascii="Trebuchet MS" w:hAnsi="Trebuchet MS"/>
                <w:b/>
                <w:bCs/>
                <w:szCs w:val="22"/>
              </w:rPr>
            </w:pPr>
            <w:r>
              <w:rPr>
                <w:rFonts w:ascii="Trebuchet MS" w:hAnsi="Trebuchet MS"/>
                <w:b/>
              </w:rPr>
              <w:t>Problémy</w:t>
            </w:r>
          </w:p>
        </w:tc>
        <w:tc>
          <w:tcPr>
            <w:tcW w:w="1195" w:type="pct"/>
            <w:shd w:val="clear" w:color="auto" w:fill="DBE5F1" w:themeFill="accent1" w:themeFillTint="33"/>
            <w:hideMark/>
          </w:tcPr>
          <w:p w:rsidR="008C7906" w:rsidRPr="008C7906" w:rsidRDefault="008C7906" w:rsidP="00DD5B9F">
            <w:pPr>
              <w:pStyle w:val="Tabelle"/>
              <w:rPr>
                <w:rFonts w:ascii="Trebuchet MS" w:hAnsi="Trebuchet MS"/>
                <w:b/>
                <w:bCs/>
                <w:szCs w:val="22"/>
              </w:rPr>
            </w:pPr>
            <w:r>
              <w:rPr>
                <w:rFonts w:ascii="Trebuchet MS" w:hAnsi="Trebuchet MS"/>
                <w:b/>
              </w:rPr>
              <w:t>Potřeby</w:t>
            </w:r>
          </w:p>
        </w:tc>
        <w:tc>
          <w:tcPr>
            <w:tcW w:w="1693" w:type="pct"/>
            <w:shd w:val="clear" w:color="auto" w:fill="DBE5F1" w:themeFill="accent1" w:themeFillTint="33"/>
            <w:hideMark/>
          </w:tcPr>
          <w:p w:rsidR="008C7906" w:rsidRPr="008C7906" w:rsidRDefault="008C7906" w:rsidP="00DD5B9F">
            <w:pPr>
              <w:pStyle w:val="Tabelle"/>
              <w:rPr>
                <w:rFonts w:ascii="Trebuchet MS" w:hAnsi="Trebuchet MS"/>
                <w:b/>
                <w:bCs/>
                <w:szCs w:val="22"/>
              </w:rPr>
            </w:pPr>
            <w:r>
              <w:rPr>
                <w:rFonts w:ascii="Trebuchet MS" w:hAnsi="Trebuchet MS"/>
                <w:b/>
              </w:rPr>
              <w:t>Odůvodnění</w:t>
            </w:r>
          </w:p>
        </w:tc>
      </w:tr>
      <w:tr w:rsidR="008C7906" w:rsidRPr="008C7906" w:rsidTr="00E37855">
        <w:trPr>
          <w:trHeight w:val="20"/>
        </w:trPr>
        <w:tc>
          <w:tcPr>
            <w:tcW w:w="867" w:type="pct"/>
            <w:hideMark/>
          </w:tcPr>
          <w:p w:rsidR="008C7906" w:rsidRPr="008C7906" w:rsidRDefault="008C7906" w:rsidP="00DD5B9F">
            <w:pPr>
              <w:spacing w:before="20" w:after="20"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t>1. Posílení výzkumu, technologického rozvoje a inovací</w:t>
            </w:r>
          </w:p>
        </w:tc>
        <w:tc>
          <w:tcPr>
            <w:tcW w:w="1245" w:type="pct"/>
          </w:tcPr>
          <w:p w:rsidR="008C7906" w:rsidRPr="008C7906" w:rsidRDefault="008C7906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Koncentrace výzkumu a vývoje do několika růstových pólů</w:t>
            </w:r>
          </w:p>
          <w:p w:rsidR="008C7906" w:rsidRPr="008C7906" w:rsidRDefault="008C7906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Nízká úroveň aktivit výzkumu a vývoje ve venkovských/</w:t>
            </w:r>
            <w:r>
              <w:rPr>
                <w:rFonts w:ascii="Trebuchet MS" w:hAnsi="Trebuchet MS"/>
                <w:sz w:val="16"/>
                <w:szCs w:val="16"/>
              </w:rPr>
              <w:br/>
            </w:r>
            <w:r>
              <w:rPr>
                <w:rFonts w:ascii="Trebuchet MS" w:hAnsi="Trebuchet MS"/>
                <w:sz w:val="16"/>
              </w:rPr>
              <w:t xml:space="preserve">periferních regionech </w:t>
            </w:r>
          </w:p>
          <w:p w:rsidR="008C7906" w:rsidRPr="008C7906" w:rsidRDefault="008C7906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Odliv mozků, zhoršení konkurenceschopnosti a riziko nezaměstnanosti</w:t>
            </w:r>
          </w:p>
          <w:p w:rsidR="008C7906" w:rsidRPr="008C7906" w:rsidRDefault="008C7906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Probíhající transformace pracovního trhu</w:t>
            </w:r>
          </w:p>
          <w:p w:rsidR="008C7906" w:rsidRPr="008C7906" w:rsidRDefault="008C7906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Rozdíly ve vzdělání a zaměstnanosti </w:t>
            </w:r>
          </w:p>
          <w:p w:rsidR="008C7906" w:rsidRPr="008C7906" w:rsidRDefault="008C7906" w:rsidP="00DD5B9F">
            <w:pPr>
              <w:spacing w:before="20" w:after="20"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95" w:type="pct"/>
          </w:tcPr>
          <w:p w:rsidR="008C7906" w:rsidRPr="008C7906" w:rsidRDefault="008C7906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Lepší rámec pro inovace </w:t>
            </w:r>
          </w:p>
          <w:p w:rsidR="008C7906" w:rsidRPr="008C7906" w:rsidRDefault="008C7906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Ekonomická specializace na základě potenciálu jednotlivých regionů </w:t>
            </w:r>
          </w:p>
          <w:p w:rsidR="008C7906" w:rsidRPr="008C7906" w:rsidRDefault="008C7906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Zdokonalený přenos technologií mezi výzkumem, vzděláváním a podnikáním </w:t>
            </w:r>
          </w:p>
          <w:p w:rsidR="0081573F" w:rsidRDefault="008C7906" w:rsidP="0081573F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Lepší dovednosti a znalosti v oblasti inovací v celé střední Evropě </w:t>
            </w:r>
          </w:p>
          <w:p w:rsidR="0081573F" w:rsidRPr="0081573F" w:rsidRDefault="0081573F" w:rsidP="0081573F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Silnější vazby a propojení mezi regiony a aktéry v oblasti inovací </w:t>
            </w:r>
          </w:p>
          <w:p w:rsidR="008C7906" w:rsidRPr="008C7906" w:rsidRDefault="008C7906" w:rsidP="00DD5B9F">
            <w:pPr>
              <w:spacing w:before="20" w:after="20"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93" w:type="pct"/>
            <w:hideMark/>
          </w:tcPr>
          <w:p w:rsidR="008C7906" w:rsidRDefault="001E340F" w:rsidP="008C7906">
            <w:pPr>
              <w:pStyle w:val="Tabelle"/>
              <w:numPr>
                <w:ilvl w:val="0"/>
                <w:numId w:val="1"/>
              </w:numPr>
              <w:spacing w:before="36" w:after="36"/>
              <w:ind w:left="170" w:hanging="170"/>
              <w:jc w:val="both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Aktivity výzkumu a vývoje jsou ve střední Evropě rozděleny nerovnoměrně, významný výzkum a vývoj v městských a tzv. středně pokročilých (intermediate) regionech slouží jako líheň a opora inovací ve střední Evropě.</w:t>
            </w:r>
          </w:p>
          <w:p w:rsidR="001E340F" w:rsidRPr="001E340F" w:rsidRDefault="001E340F" w:rsidP="008C7906">
            <w:pPr>
              <w:pStyle w:val="Tabelle"/>
              <w:numPr>
                <w:ilvl w:val="0"/>
                <w:numId w:val="1"/>
              </w:numPr>
              <w:spacing w:before="36" w:after="36"/>
              <w:ind w:left="170" w:hanging="170"/>
              <w:jc w:val="both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Existuje zde vysoký potenciál mobilizovat synergie mezi podnikáním a výzkumem a investovat do inovací výrobků a procesů; vazby ovšem nejsou dostatečně ukotveny.</w:t>
            </w:r>
          </w:p>
          <w:p w:rsidR="001E340F" w:rsidRPr="008C7906" w:rsidRDefault="001E340F" w:rsidP="001E340F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 xml:space="preserve">Ve světle měnících se podmínek na světových trzích podpoří lepší propojení pokročilých regionů konkurenceschopnost nadnárodních a regionálních klastrů ve střední Evropě, jakož i začlenění horizontálních výzev (např. globalizace, genderové otázky). </w:t>
            </w:r>
          </w:p>
          <w:p w:rsidR="008C7906" w:rsidRPr="008C7906" w:rsidRDefault="008C7906" w:rsidP="008C7906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Zlepšení rámcových podmínek pro výzkum, vývoj a inovace podpoří roli oblasti programu CENTRAL EUROPE jako potenciálního cíle zahraničních investic a kapitálových toků.</w:t>
            </w:r>
          </w:p>
          <w:p w:rsidR="001E340F" w:rsidRPr="008C7906" w:rsidRDefault="001E340F" w:rsidP="001E340F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Podpora vazeb mezi podnikáním a výzkumem zvyšuje konkurenceschopnost a snižuje riziko odlivu mozků v oblasti programu CENTRAL EUROPE.</w:t>
            </w:r>
          </w:p>
          <w:p w:rsidR="008C7906" w:rsidRPr="008C7906" w:rsidRDefault="008C7906" w:rsidP="008C7906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Zlepšení dovedností a znalostí lidského kapitálu a podnikatelů je důležitým faktorem pro zvýšení inovační kapacity v oblasti programu CENTRAL EUROPE.</w:t>
            </w:r>
          </w:p>
          <w:p w:rsidR="008C7906" w:rsidRPr="008C7906" w:rsidRDefault="0081573F" w:rsidP="008C7906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Podpora inovačního potenciálu ve venkovských regionech přináší podněty pro trvale udržitelný a vyvážený rozvoj území a povzbuzuje ekonomickou i sociální soudržnost.</w:t>
            </w:r>
          </w:p>
          <w:p w:rsidR="008C7906" w:rsidRPr="008C7906" w:rsidRDefault="008C7906" w:rsidP="008C7906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Podpora dovedností a kompetencí v periferních a vylidňujících se regionech, což je cílem dlouhodobých (demografických) transformačních procesů, může snížit prohlubující se zaostávání periferních, špatně dostupných regionů.</w:t>
            </w:r>
          </w:p>
          <w:p w:rsidR="001E340F" w:rsidRPr="001E340F" w:rsidRDefault="008C7906" w:rsidP="001E340F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Podpora dalších znalostí a dovedností v oblasti ekonomických a sociálních inovací (se specifickým zaměřením na MSP) podpoří podnikatelského ducha v regionech a zlepší vnitřní ekonomický potenciál, což sníží migraci z periferních regionů.</w:t>
            </w:r>
          </w:p>
        </w:tc>
      </w:tr>
      <w:tr w:rsidR="008C7906" w:rsidRPr="008C7906" w:rsidTr="00E37855">
        <w:trPr>
          <w:trHeight w:val="20"/>
        </w:trPr>
        <w:tc>
          <w:tcPr>
            <w:tcW w:w="867" w:type="pct"/>
            <w:shd w:val="clear" w:color="auto" w:fill="F2F2F2" w:themeFill="background1" w:themeFillShade="F2"/>
            <w:hideMark/>
          </w:tcPr>
          <w:p w:rsidR="008C7906" w:rsidRPr="008C7906" w:rsidRDefault="008C7906" w:rsidP="00CD6119">
            <w:pPr>
              <w:spacing w:before="20" w:after="20"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t xml:space="preserve">2. Zlepšení přístupu k informačním a komunikačním technologiím, jejich využívání </w:t>
            </w:r>
            <w:r>
              <w:rPr>
                <w:rFonts w:ascii="Trebuchet MS" w:hAnsi="Trebuchet MS"/>
                <w:b/>
                <w:sz w:val="16"/>
              </w:rPr>
              <w:lastRenderedPageBreak/>
              <w:t>a kvality</w:t>
            </w:r>
            <w:bookmarkStart w:id="6" w:name="_GoBack"/>
            <w:bookmarkEnd w:id="6"/>
          </w:p>
        </w:tc>
        <w:tc>
          <w:tcPr>
            <w:tcW w:w="1245" w:type="pct"/>
            <w:shd w:val="clear" w:color="auto" w:fill="F2F2F2" w:themeFill="background1" w:themeFillShade="F2"/>
            <w:hideMark/>
          </w:tcPr>
          <w:p w:rsidR="008C7906" w:rsidRPr="008C7906" w:rsidRDefault="008C7906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lastRenderedPageBreak/>
              <w:t>Značně nerovnoměrné rozložení dostupnosti ICT</w:t>
            </w:r>
          </w:p>
        </w:tc>
        <w:tc>
          <w:tcPr>
            <w:tcW w:w="1195" w:type="pct"/>
            <w:shd w:val="clear" w:color="auto" w:fill="F2F2F2" w:themeFill="background1" w:themeFillShade="F2"/>
            <w:hideMark/>
          </w:tcPr>
          <w:p w:rsidR="008C7906" w:rsidRPr="008C7906" w:rsidRDefault="008C7906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Vyřešení sektorových a prostorových nerovností, pokud jde o přístup k vysokorychlostnímu internetu a rozvoj IT </w:t>
            </w:r>
            <w:r>
              <w:rPr>
                <w:rFonts w:ascii="Trebuchet MS" w:hAnsi="Trebuchet MS"/>
                <w:sz w:val="16"/>
              </w:rPr>
              <w:lastRenderedPageBreak/>
              <w:t>(adaptace)</w:t>
            </w:r>
          </w:p>
        </w:tc>
        <w:tc>
          <w:tcPr>
            <w:tcW w:w="1693" w:type="pct"/>
            <w:shd w:val="clear" w:color="auto" w:fill="F2F2F2" w:themeFill="background1" w:themeFillShade="F2"/>
            <w:hideMark/>
          </w:tcPr>
          <w:p w:rsidR="008C7906" w:rsidRPr="008C7906" w:rsidRDefault="008C7906" w:rsidP="00DD5B9F">
            <w:pPr>
              <w:spacing w:before="20" w:after="20" w:line="240" w:lineRule="auto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lastRenderedPageBreak/>
              <w:t>TC byl ZAMÍTNUT z těchto důvodů:</w:t>
            </w:r>
          </w:p>
          <w:p w:rsidR="00BE4CA4" w:rsidRPr="00BE4CA4" w:rsidRDefault="008C7906" w:rsidP="00BE4CA4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Nedostatek relevantnosti pro nadnárodní program spolupráce – velikost rozpočtu programu neumožní nezbytnou podporu </w:t>
            </w:r>
            <w:r>
              <w:rPr>
                <w:rFonts w:ascii="Trebuchet MS" w:hAnsi="Trebuchet MS" w:cstheme="minorBidi"/>
                <w:sz w:val="16"/>
              </w:rPr>
              <w:lastRenderedPageBreak/>
              <w:t>infrastruktury</w:t>
            </w:r>
          </w:p>
          <w:p w:rsidR="008C7906" w:rsidRPr="00BE4CA4" w:rsidRDefault="008C7906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Provázanost s jinými fondy SSR/vymezení vůči ostatním fondům SSR – zlepšení a zvýšení kvality ICT bude hlavním cílem a úkolem v EFRR a EZFRV, které budou vhodnější pro podporu investic do infrastruktury</w:t>
            </w:r>
          </w:p>
          <w:p w:rsidR="008C7906" w:rsidRPr="008C7906" w:rsidRDefault="008C7906" w:rsidP="00BE4CA4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Podpora využívání ICT bude v rámci programu CENTRAL EUROPE považována za horizontální cíl, vzhledem k tomu, že TC1, TC4 a TC7 budou při své implementaci na ICT spoléhat, čímž přispějí k nepřímé podpoře tohoto cíle</w:t>
            </w:r>
          </w:p>
        </w:tc>
      </w:tr>
      <w:tr w:rsidR="00545214" w:rsidRPr="008C7906" w:rsidTr="00E37855">
        <w:trPr>
          <w:trHeight w:val="20"/>
        </w:trPr>
        <w:tc>
          <w:tcPr>
            <w:tcW w:w="867" w:type="pct"/>
            <w:shd w:val="clear" w:color="auto" w:fill="F2F2F2" w:themeFill="background1" w:themeFillShade="F2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 w:cstheme="minorBidi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lastRenderedPageBreak/>
              <w:t>3. Zvýšení konkurenceschopnosti malých a středních podniků,</w:t>
            </w:r>
          </w:p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t>zemědělského sektoru (pro EZFRV), odvětví rybolovu a akvakultury (pro</w:t>
            </w:r>
          </w:p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t>ENRF)</w:t>
            </w:r>
          </w:p>
        </w:tc>
        <w:tc>
          <w:tcPr>
            <w:tcW w:w="1245" w:type="pct"/>
            <w:shd w:val="clear" w:color="auto" w:fill="F2F2F2" w:themeFill="background1" w:themeFillShade="F2"/>
          </w:tcPr>
          <w:p w:rsidR="00545214" w:rsidRDefault="00545214" w:rsidP="00DD5B9F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Nedostatek kompetencí a dovedností v rámci MSP, pokud jde o inovační produkty a služby</w:t>
            </w:r>
          </w:p>
          <w:p w:rsidR="00545214" w:rsidRPr="008C7906" w:rsidRDefault="00545214" w:rsidP="00DD5B9F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Rozdíly v kultuře podnikání</w:t>
            </w:r>
          </w:p>
        </w:tc>
        <w:tc>
          <w:tcPr>
            <w:tcW w:w="1195" w:type="pct"/>
            <w:shd w:val="clear" w:color="auto" w:fill="F2F2F2" w:themeFill="background1" w:themeFillShade="F2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Lepší průmyslové sítě díky větší ukotvenosti regionů v globálních kapitálových tocích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Větší množství typů ekologicky zaměřených pracovních míst, kreativních odvětví a malých a středních družstevních podniků</w:t>
            </w:r>
          </w:p>
        </w:tc>
        <w:tc>
          <w:tcPr>
            <w:tcW w:w="1693" w:type="pct"/>
            <w:shd w:val="clear" w:color="auto" w:fill="F2F2F2" w:themeFill="background1" w:themeFillShade="F2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TC byl ZAMÍTNUT z těchto důvodů: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Malými a středními podniky se zabývají jiné vybrané tematické cíle jako specifickými cílovými skupinami v oblasti inovací, nízkouhlíkového hospodářství (typy ekologicky zaměřených pracovních míst), životního prostředí, kultury atd.</w:t>
            </w:r>
          </w:p>
          <w:p w:rsidR="00545214" w:rsidRPr="009621FE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Význam MSP pro oblast střední Evropy je uznáván a identifikován, např. jejich význam jako hnací síly inovací, vzhledem ke skutečnosti, že v některých regionech vykazují malé a střední podniky vysokou úroveň inovací; na druhé straně byly identifikovány také nedostatky a slabé stránky, jako například nedostatek dostatečně kvalifikované pracovní síly. Z analýzy ale jasně vyplynulo, že otázky týkající se malých a středních podniků mohou být řešeny v rámci jiných tematických cílů (především TC1). TC1 se zaměřuje zejména na zlepšení interakce MSP na nadnárodní úrovni a jeho cílem je stimulovat inovace a kompetence malých a středních podniků.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Otázky týkající se MSP specifické pro daný členský stát může lépe řešit EFRR, EZFRV a ENRF.</w:t>
            </w:r>
          </w:p>
        </w:tc>
      </w:tr>
      <w:tr w:rsidR="00545214" w:rsidRPr="008C7906" w:rsidTr="00E37855">
        <w:trPr>
          <w:trHeight w:val="20"/>
        </w:trPr>
        <w:tc>
          <w:tcPr>
            <w:tcW w:w="867" w:type="pct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t>4. Podpora přechodu na nízkouhlíkové hospodářství ve všech odvětvích</w:t>
            </w:r>
          </w:p>
        </w:tc>
        <w:tc>
          <w:tcPr>
            <w:tcW w:w="1245" w:type="pct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Velká závislost na fosilních palivech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Nízká hrubá tuzemská spotřeba energie z obnovitelných zdrojů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Neustále se zvyšující spotřeba energie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Neefektivní využívání energie, především v oblasti bydlení a ve veřejném sektoru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Neefektivně využívaný potenciál energie z obnovitelných zdrojů </w:t>
            </w:r>
          </w:p>
        </w:tc>
        <w:tc>
          <w:tcPr>
            <w:tcW w:w="1195" w:type="pct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Lepší energetická účinnost ve všech odvětvích (veřejný i soukromý sektor)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Snížení růstu spotřeby energie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Vyšší využívání stávajícího potenciálu energie z obnovitelných zdrojů </w:t>
            </w:r>
          </w:p>
        </w:tc>
        <w:tc>
          <w:tcPr>
            <w:tcW w:w="1693" w:type="pct"/>
            <w:hideMark/>
          </w:tcPr>
          <w:p w:rsidR="00545214" w:rsidRPr="00545214" w:rsidRDefault="00545214" w:rsidP="00545214">
            <w:pPr>
              <w:pStyle w:val="Tabelle"/>
              <w:numPr>
                <w:ilvl w:val="0"/>
                <w:numId w:val="1"/>
              </w:numPr>
              <w:spacing w:before="0" w:after="30"/>
              <w:ind w:left="170" w:hanging="170"/>
              <w:jc w:val="both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Výroba energie z obnovitelných zdrojů se musí rozšířit zejména do východních regionů střední Evropy.</w:t>
            </w:r>
          </w:p>
          <w:p w:rsidR="00545214" w:rsidRPr="00545214" w:rsidRDefault="00545214" w:rsidP="00545214">
            <w:pPr>
              <w:pStyle w:val="Tabelle"/>
              <w:numPr>
                <w:ilvl w:val="0"/>
                <w:numId w:val="1"/>
              </w:numPr>
              <w:spacing w:before="0" w:after="30"/>
              <w:ind w:left="170" w:hanging="170"/>
              <w:jc w:val="both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Efektivní způsob využívání energie může přispět kesnížení závislosti střední Evropy na dovozu energií a ke zmírňování dopadů klimatických změn. </w:t>
            </w:r>
          </w:p>
          <w:p w:rsidR="00545214" w:rsidRPr="00545214" w:rsidRDefault="00545214" w:rsidP="00545214">
            <w:pPr>
              <w:pStyle w:val="Tabelle"/>
              <w:numPr>
                <w:ilvl w:val="0"/>
                <w:numId w:val="1"/>
              </w:numPr>
              <w:spacing w:before="0" w:after="30"/>
              <w:ind w:left="170" w:hanging="170"/>
              <w:jc w:val="both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Podpora technologií na výrobu energie z endogenních zdrojů má velký potenciál, kapacity jsou však často omezené</w:t>
            </w:r>
          </w:p>
          <w:p w:rsidR="00545214" w:rsidRPr="00545214" w:rsidRDefault="00545214" w:rsidP="008C7906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Sektory bydlení, veřejných služeb a dopravy patří k největším spotřebitelům energie – zejména v městských oblastech. Mnoho středoevropských regionů ještě stále nevyužívá energii šetrným způsobem.</w:t>
            </w:r>
          </w:p>
          <w:p w:rsidR="00545214" w:rsidRPr="00545214" w:rsidRDefault="00545214" w:rsidP="008C7906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Potenciální nová ekologicky zaměřená pracovní místa přispívají ke zvýšení konkurenceschopnosti regionů a ke snížení nezaměstnanosti. </w:t>
            </w:r>
          </w:p>
          <w:p w:rsidR="00545214" w:rsidRPr="00545214" w:rsidRDefault="00545214" w:rsidP="008C7906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Implementace nízkouhlíkových strategií podporuje snižování emisí skleníkových plynů a stávající závislosti střední Evropy </w:t>
            </w:r>
            <w:r>
              <w:rPr>
                <w:rFonts w:ascii="Trebuchet MS" w:hAnsi="Trebuchet MS"/>
                <w:sz w:val="16"/>
              </w:rPr>
              <w:lastRenderedPageBreak/>
              <w:t>na energii z fosilních paliv.</w:t>
            </w:r>
          </w:p>
          <w:p w:rsidR="00545214" w:rsidRPr="00545214" w:rsidRDefault="00545214" w:rsidP="00545214">
            <w:pPr>
              <w:pStyle w:val="Tabelle"/>
              <w:numPr>
                <w:ilvl w:val="0"/>
                <w:numId w:val="1"/>
              </w:numPr>
              <w:spacing w:before="0" w:after="30"/>
              <w:ind w:left="170" w:hanging="170"/>
              <w:jc w:val="both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Využití dostupných znalostí o energii z obnovitelných zdrojů v některých středoevropských regionech má u zaostávajících oblastí velký potenciál </w:t>
            </w:r>
          </w:p>
          <w:p w:rsidR="00545214" w:rsidRPr="00545214" w:rsidRDefault="00545214" w:rsidP="00545214">
            <w:pPr>
              <w:pStyle w:val="Tabelle"/>
              <w:numPr>
                <w:ilvl w:val="0"/>
                <w:numId w:val="1"/>
              </w:numPr>
              <w:spacing w:before="0" w:after="30"/>
              <w:ind w:left="170" w:hanging="170"/>
              <w:jc w:val="both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Existuje potřeba zvýšit kapacitu veřejného sektoru pro realizaci opatření energetické účinnosti </w:t>
            </w:r>
          </w:p>
          <w:p w:rsidR="00545214" w:rsidRPr="008C7906" w:rsidRDefault="00545214" w:rsidP="00545214">
            <w:pPr>
              <w:pStyle w:val="Tabelle"/>
              <w:numPr>
                <w:ilvl w:val="0"/>
                <w:numId w:val="1"/>
              </w:numPr>
              <w:spacing w:before="36" w:after="36"/>
              <w:ind w:left="170" w:hanging="17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Podpora systémů městské dopravy, která je šetrnější k životnímu prostředí a má trvale udržitelné nízké úrovně emisí CO</w:t>
            </w:r>
            <w:r>
              <w:rPr>
                <w:rFonts w:ascii="Trebuchet MS" w:hAnsi="Trebuchet MS"/>
                <w:sz w:val="16"/>
                <w:vertAlign w:val="subscript"/>
              </w:rPr>
              <w:t>2</w:t>
            </w:r>
            <w:r>
              <w:rPr>
                <w:rFonts w:ascii="Trebuchet MS" w:hAnsi="Trebuchet MS"/>
                <w:sz w:val="16"/>
              </w:rPr>
              <w:t>, přispívá k řešení problémů s kvalitou ovzduší (včetně vysokých koncentrací pevných prachových částic a ozonu) a pomáhá rozvíjet kvalitu života v daném regionu i ekonomické podmínky především v oblasti městských uzlů.</w:t>
            </w:r>
          </w:p>
        </w:tc>
      </w:tr>
      <w:tr w:rsidR="00545214" w:rsidRPr="008C7906" w:rsidTr="00E37855">
        <w:trPr>
          <w:trHeight w:val="20"/>
        </w:trPr>
        <w:tc>
          <w:tcPr>
            <w:tcW w:w="867" w:type="pct"/>
            <w:shd w:val="clear" w:color="auto" w:fill="F2F2F2" w:themeFill="background1" w:themeFillShade="F2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lastRenderedPageBreak/>
              <w:t>5. Podpora přizpůsobení se klimatickým změnám, prevence a řízení rizik</w:t>
            </w:r>
          </w:p>
        </w:tc>
        <w:tc>
          <w:tcPr>
            <w:tcW w:w="1245" w:type="pct"/>
            <w:shd w:val="clear" w:color="auto" w:fill="F2F2F2" w:themeFill="background1" w:themeFillShade="F2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Délka vegetačního období a častější výskyt extrémních projevů počasí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Zvýšení středních i maximálních teplot vzduchu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Pokud jde o nesoběstačnost v zásobování vodou, jsou nejzranitelnějšími státy Česká republika, Rakousko a Slovensko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Co se týče zemědělství, lesnictví a letního turistického ruchu, jsou nejvíce postiženy regiony jižní a východní Evropy</w:t>
            </w:r>
          </w:p>
        </w:tc>
        <w:tc>
          <w:tcPr>
            <w:tcW w:w="1195" w:type="pct"/>
            <w:shd w:val="clear" w:color="auto" w:fill="F2F2F2" w:themeFill="background1" w:themeFillShade="F2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Transformované vodohospodářské soustavy, vzhledem k pokračující desertifikaci a vzrůstajícímu nebezpeční sucha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Mechanismy adaptace a prevence rizik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Zvýšené retenční kapacity krajiny (řízení rizik při povodních)</w:t>
            </w:r>
          </w:p>
        </w:tc>
        <w:tc>
          <w:tcPr>
            <w:tcW w:w="1693" w:type="pct"/>
            <w:shd w:val="clear" w:color="auto" w:fill="F2F2F2" w:themeFill="background1" w:themeFillShade="F2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TC byl ZAMÍTNUT z těchto důvodů: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Přizpůsobení se klimatickým změnám je spíše záležitostí geograficky ohraničených iniciativ a projektů. Proto budou tyto problémy efektivněji řešeny v rámci národních programů nebo programů přeshraniční spolupráce či v rámci euroregionů (viz např. infrastruktura pro předcházení povodním).</w:t>
            </w:r>
          </w:p>
          <w:p w:rsidR="00545214" w:rsidRPr="00E01EF8" w:rsidRDefault="00545214" w:rsidP="00E01EF8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Hlavní problémy a potřeby je možné řešit nadnárodně prostřednictvím jiných tematických cílů, jako jsou například opatření pro zmírnění dopadů klimatických změn, pokud jde o přechod na nízkouhlíkové hospodářství (TC4) nebo ve vztahu k opatřením na přizpůsobení se a předcházení rizikům, která budou řešena prostřednictvím udržitelného řízení přírodního dědictví a zdrojů a budou se také zabývat efektivním využíváním zdrojů (TC6).</w:t>
            </w:r>
          </w:p>
        </w:tc>
      </w:tr>
      <w:tr w:rsidR="00545214" w:rsidRPr="008C7906" w:rsidTr="00E37855">
        <w:trPr>
          <w:trHeight w:val="20"/>
        </w:trPr>
        <w:tc>
          <w:tcPr>
            <w:tcW w:w="867" w:type="pct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t>6. Ochrana životního prostředí a podpora efektivního využívání zdrojů</w:t>
            </w:r>
          </w:p>
        </w:tc>
        <w:tc>
          <w:tcPr>
            <w:tcW w:w="1245" w:type="pct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Přírodní životní prostředí/životní prostředí blízké přírodě je pod tlakem </w:t>
            </w:r>
          </w:p>
          <w:p w:rsidR="00E01EF8" w:rsidRPr="008C7906" w:rsidRDefault="00E01EF8" w:rsidP="00E01EF8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Přírodní a kulturní dědictví jsou ohrožené neudržitelnými způsoby využívání </w:t>
            </w:r>
          </w:p>
          <w:p w:rsidR="00E01EF8" w:rsidRPr="008C7906" w:rsidRDefault="00E01EF8" w:rsidP="00E01EF8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Znečištění ovzduší, vody a půdy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Střety ohledně způsobů využívání půdy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Vysoká úroveň spotřeby a fragmentace půdy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Živelný růst měst </w:t>
            </w:r>
          </w:p>
        </w:tc>
        <w:tc>
          <w:tcPr>
            <w:tcW w:w="1195" w:type="pct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Šetrné využívání přírodního a kulturního dědictví i zdrojů a zachování nedotčeného životního prostředí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Vyšší kvalita života v městských oblastech </w:t>
            </w:r>
          </w:p>
          <w:p w:rsidR="00545214" w:rsidRPr="008C7906" w:rsidRDefault="00E01EF8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Nižší spotřeba půdy a předcházení další fragmentaci krajiny</w:t>
            </w:r>
          </w:p>
        </w:tc>
        <w:tc>
          <w:tcPr>
            <w:tcW w:w="1693" w:type="pct"/>
            <w:hideMark/>
          </w:tcPr>
          <w:p w:rsidR="00B71632" w:rsidRPr="00B71632" w:rsidRDefault="00B71632" w:rsidP="00B71632">
            <w:pPr>
              <w:pStyle w:val="Tabelle"/>
              <w:numPr>
                <w:ilvl w:val="0"/>
                <w:numId w:val="1"/>
              </w:numPr>
              <w:spacing w:before="0" w:after="30"/>
              <w:ind w:left="170" w:hanging="170"/>
              <w:jc w:val="both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 xml:space="preserve">Je nutné zachovat bohatství středoevropských přírodních a kulturních zdrojů a zlepšit jejich řízení </w:t>
            </w:r>
          </w:p>
          <w:p w:rsidR="00B71632" w:rsidRPr="00B71632" w:rsidRDefault="00B71632" w:rsidP="00B71632">
            <w:pPr>
              <w:pStyle w:val="Tabelle"/>
              <w:numPr>
                <w:ilvl w:val="0"/>
                <w:numId w:val="1"/>
              </w:numPr>
              <w:spacing w:before="30" w:after="30"/>
              <w:ind w:left="170" w:hanging="170"/>
              <w:jc w:val="both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Udržitelné využívání přírodních a kulturních zdrojů slouží v lokalitě jako důležitý faktor, který ovšem často není dostatečně využíván.</w:t>
            </w:r>
          </w:p>
          <w:p w:rsidR="00B71632" w:rsidRPr="00B71632" w:rsidRDefault="00B71632" w:rsidP="00B71632">
            <w:pPr>
              <w:pStyle w:val="Tabelle"/>
              <w:numPr>
                <w:ilvl w:val="0"/>
                <w:numId w:val="1"/>
              </w:numPr>
              <w:spacing w:before="0" w:after="30"/>
              <w:ind w:left="170" w:hanging="170"/>
              <w:jc w:val="both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Tlaky na přírodní a kulturní zdroje ohrožují potenciál jejich využití.</w:t>
            </w:r>
          </w:p>
          <w:p w:rsidR="00B71632" w:rsidRPr="00B71632" w:rsidRDefault="00B71632" w:rsidP="00B71632">
            <w:pPr>
              <w:pStyle w:val="Tabelle"/>
              <w:numPr>
                <w:ilvl w:val="0"/>
                <w:numId w:val="1"/>
              </w:numPr>
              <w:spacing w:before="0" w:after="30"/>
              <w:ind w:left="170" w:hanging="170"/>
              <w:jc w:val="both"/>
              <w:rPr>
                <w:rFonts w:ascii="Trebuchet MS" w:hAnsi="Trebuchet MS"/>
                <w:noProof/>
                <w:sz w:val="16"/>
              </w:rPr>
            </w:pPr>
            <w:r>
              <w:rPr>
                <w:rFonts w:ascii="Trebuchet MS" w:hAnsi="Trebuchet MS"/>
                <w:sz w:val="16"/>
              </w:rPr>
              <w:t>Nadnárodní spolupráce může pomoci koordinovat trvale udržitelné řízení přírodních a kulturních zdrojů.</w:t>
            </w:r>
          </w:p>
          <w:p w:rsidR="00B71632" w:rsidRPr="00B71632" w:rsidRDefault="00B71632" w:rsidP="008C7906">
            <w:pPr>
              <w:pStyle w:val="Tabelle"/>
              <w:numPr>
                <w:ilvl w:val="0"/>
                <w:numId w:val="1"/>
              </w:numPr>
              <w:spacing w:before="36" w:after="36"/>
              <w:ind w:left="170" w:hanging="170"/>
              <w:rPr>
                <w:rFonts w:ascii="Trebuchet MS" w:hAnsi="Trebuchet MS"/>
                <w:sz w:val="12"/>
              </w:rPr>
            </w:pPr>
            <w:r>
              <w:rPr>
                <w:rFonts w:ascii="Trebuchet MS" w:hAnsi="Trebuchet MS"/>
                <w:sz w:val="16"/>
              </w:rPr>
              <w:t xml:space="preserve">Přírodní a kulturní památky nejsou dostatečně propojeny. </w:t>
            </w:r>
          </w:p>
          <w:p w:rsidR="00B71632" w:rsidRPr="00B71632" w:rsidRDefault="00B71632" w:rsidP="00B71632">
            <w:pPr>
              <w:pStyle w:val="Tabelle"/>
              <w:numPr>
                <w:ilvl w:val="0"/>
                <w:numId w:val="1"/>
              </w:numPr>
              <w:spacing w:before="30" w:after="30"/>
              <w:ind w:left="170" w:hanging="170"/>
              <w:jc w:val="both"/>
              <w:rPr>
                <w:rFonts w:ascii="Trebuchet MS" w:hAnsi="Trebuchet MS"/>
                <w:noProof/>
                <w:sz w:val="16"/>
              </w:rPr>
            </w:pPr>
            <w:r>
              <w:rPr>
                <w:rFonts w:ascii="Trebuchet MS" w:hAnsi="Trebuchet MS"/>
                <w:sz w:val="16"/>
              </w:rPr>
              <w:t xml:space="preserve">Překážkami vývoje jsou ekologické problémy jako znečištění ovzduší, vody a půdy, klimatické změny, spotřeba půdy a střety ohledně způsobů využívání půdy, jakož i negativní efekty přelévání důsledků procesů (tzv. spill-over) v oblastech aglomerací. </w:t>
            </w:r>
          </w:p>
          <w:p w:rsidR="00545214" w:rsidRPr="008C7906" w:rsidRDefault="00B71632" w:rsidP="008C7906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 xml:space="preserve">Hlavním problémem pro středoevropské životní prostředí a kvalitu života městských obyvatel jsou negativní externí </w:t>
            </w:r>
            <w:r>
              <w:rPr>
                <w:rFonts w:ascii="Trebuchet MS" w:hAnsi="Trebuchet MS"/>
                <w:sz w:val="16"/>
              </w:rPr>
              <w:lastRenderedPageBreak/>
              <w:t>dopady městských oblastí (nevýhody aglomerací, jejichž důsledkem je např. nízká kvalita ovzduší).</w:t>
            </w:r>
          </w:p>
        </w:tc>
      </w:tr>
      <w:tr w:rsidR="00545214" w:rsidRPr="008C7906" w:rsidTr="00E37855">
        <w:trPr>
          <w:trHeight w:val="20"/>
        </w:trPr>
        <w:tc>
          <w:tcPr>
            <w:tcW w:w="867" w:type="pct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 w:cstheme="minorBidi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lastRenderedPageBreak/>
              <w:t>7. Podpora udržitelné dopravy a odstranění úzkých míst v klíčové síťové</w:t>
            </w:r>
          </w:p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t>infrastruktuře</w:t>
            </w:r>
          </w:p>
        </w:tc>
        <w:tc>
          <w:tcPr>
            <w:tcW w:w="1245" w:type="pct"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Nízká dostupnost periferních regionů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Nové systémy dopravy jednotlivých členských států trpí sníženou úrovní služeb veřejné dopravy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Silnější závislost na individuální dopravě vede k sociálním a ekologickým problémům </w:t>
            </w:r>
          </w:p>
          <w:p w:rsidR="00545214" w:rsidRPr="00B71632" w:rsidRDefault="00545214" w:rsidP="00B71632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Vyčerpaná kapacita infrastruktury veřejné dopravy </w:t>
            </w:r>
          </w:p>
        </w:tc>
        <w:tc>
          <w:tcPr>
            <w:tcW w:w="1195" w:type="pct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Vyřešit rozdíly v dostupnosti regionů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Zlepšit dostupnost měst a regionů mimo metropolitní oblasti a koridory TEN-T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Podporovat ekologické a inteligentní systémy veřejné dopravy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Zaměřit se na systémy veřejné a multimodální dopravy</w:t>
            </w:r>
          </w:p>
        </w:tc>
        <w:tc>
          <w:tcPr>
            <w:tcW w:w="1693" w:type="pct"/>
            <w:hideMark/>
          </w:tcPr>
          <w:p w:rsidR="00545214" w:rsidRPr="00B71632" w:rsidRDefault="00545214" w:rsidP="008C7906">
            <w:pPr>
              <w:pStyle w:val="Tabelle"/>
              <w:numPr>
                <w:ilvl w:val="0"/>
                <w:numId w:val="1"/>
              </w:numPr>
              <w:spacing w:before="36" w:after="36"/>
              <w:ind w:left="170" w:hanging="17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Slabá regionální a místní dostupnost mimo středoevropské aglomerace</w:t>
            </w:r>
          </w:p>
          <w:p w:rsidR="00B71632" w:rsidRPr="00B71632" w:rsidRDefault="00B71632" w:rsidP="00B71632">
            <w:pPr>
              <w:pStyle w:val="Tabelle"/>
              <w:numPr>
                <w:ilvl w:val="0"/>
                <w:numId w:val="1"/>
              </w:numPr>
              <w:spacing w:before="0" w:after="30"/>
              <w:ind w:left="170" w:hanging="170"/>
              <w:jc w:val="both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Nápadná propast v dostupnosti panuje mezi periferními venkovskými regiony a ekonomickými centry, co se týče napojení veřejné dopravy na sítě TEN-T</w:t>
            </w:r>
          </w:p>
          <w:p w:rsidR="00B71632" w:rsidRPr="00B71632" w:rsidRDefault="00545214" w:rsidP="008C7906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Rozdíly v multimodální dostupnosti snižují konkurenceschopnost mnoha středoevropských regionů.</w:t>
            </w:r>
          </w:p>
          <w:p w:rsidR="00545214" w:rsidRPr="00B71632" w:rsidRDefault="00545214" w:rsidP="008C7906">
            <w:pPr>
              <w:pStyle w:val="Tabelle"/>
              <w:numPr>
                <w:ilvl w:val="0"/>
                <w:numId w:val="1"/>
              </w:numPr>
              <w:spacing w:before="36" w:after="36"/>
              <w:ind w:left="170" w:hanging="17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Podpora kvality spojení městských a venkovských oblastí (i důležitých měst mimo metropolitní oblasti (tzv. regiopolí) a okolních oblastí) může zmenšit rozdíl mezi periferními oblastmi a centry.</w:t>
            </w:r>
          </w:p>
          <w:p w:rsidR="00545214" w:rsidRPr="00B71632" w:rsidRDefault="00545214" w:rsidP="008C7906">
            <w:pPr>
              <w:pStyle w:val="Tabelle"/>
              <w:numPr>
                <w:ilvl w:val="0"/>
                <w:numId w:val="1"/>
              </w:numPr>
              <w:spacing w:before="36" w:after="36"/>
              <w:ind w:left="170" w:hanging="170"/>
              <w:rPr>
                <w:rFonts w:ascii="Trebuchet MS" w:eastAsia="Calibri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Lepší regionální dostupnost přispívá k většímu zapojení periferních regionů do procesu rozvoje a ke snížení vylidňování regionů.</w:t>
            </w:r>
          </w:p>
          <w:p w:rsidR="00B71632" w:rsidRPr="00B71632" w:rsidRDefault="00B71632" w:rsidP="00B71632">
            <w:pPr>
              <w:pStyle w:val="Tabelle"/>
              <w:numPr>
                <w:ilvl w:val="0"/>
                <w:numId w:val="1"/>
              </w:numPr>
              <w:spacing w:before="0" w:after="30"/>
              <w:ind w:left="170" w:hanging="170"/>
              <w:jc w:val="both"/>
              <w:rPr>
                <w:rFonts w:ascii="Trebuchet MS" w:eastAsia="Calibri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Implementace ekologických a nízkouhlíkových systémů nákladní dopravy a logistiky přispěje k cílům strategie 2020 zaměřeným na snižování emisí skleníkových plynů a zvýšení energetické účinnosti.</w:t>
            </w:r>
          </w:p>
          <w:p w:rsidR="00545214" w:rsidRPr="00B71632" w:rsidRDefault="00545214" w:rsidP="008C7906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Nárůst objemu dopravy zvýrazňuje potřebu ekologických a nízkouhlíkových systémů nákladní dopravy.</w:t>
            </w:r>
          </w:p>
          <w:p w:rsidR="00545214" w:rsidRPr="008C7906" w:rsidRDefault="00B71632" w:rsidP="008C7906">
            <w:pPr>
              <w:pStyle w:val="Tabelle"/>
              <w:numPr>
                <w:ilvl w:val="0"/>
                <w:numId w:val="1"/>
              </w:numPr>
              <w:spacing w:before="0" w:after="36"/>
              <w:ind w:left="170" w:hanging="17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V multimodální dostupnosti nákladní dopravy jsou ve střední Evropě rozdíly</w:t>
            </w:r>
          </w:p>
        </w:tc>
      </w:tr>
      <w:tr w:rsidR="00545214" w:rsidRPr="008C7906" w:rsidTr="00E37855">
        <w:trPr>
          <w:trHeight w:val="20"/>
        </w:trPr>
        <w:tc>
          <w:tcPr>
            <w:tcW w:w="867" w:type="pct"/>
            <w:shd w:val="clear" w:color="auto" w:fill="F2F2F2" w:themeFill="background1" w:themeFillShade="F2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t>8.</w:t>
            </w:r>
            <w:r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  <w:sz w:val="16"/>
              </w:rPr>
              <w:t>Podpora zaměstnanosti a pracovní mobility</w:t>
            </w:r>
          </w:p>
        </w:tc>
        <w:tc>
          <w:tcPr>
            <w:tcW w:w="1245" w:type="pct"/>
            <w:shd w:val="clear" w:color="auto" w:fill="F2F2F2" w:themeFill="background1" w:themeFillShade="F2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Míra nezaměstnanosti se v některých regionech, zejména v Itálii a Maďarsku, značně zvýšila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Transformace pracovních trhů kvůli globalizaci/rozdělení (největší zranitelnost vykazují regiony východního Maďarska, východního Slovenska a západního Polska)</w:t>
            </w:r>
          </w:p>
        </w:tc>
        <w:tc>
          <w:tcPr>
            <w:tcW w:w="1195" w:type="pct"/>
            <w:shd w:val="clear" w:color="auto" w:fill="F2F2F2" w:themeFill="background1" w:themeFillShade="F2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Zvážení specifické geopolitické situace po rozšíření EU a přeshraniční spojení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Podporované alternativní formy zaměstnání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Zvažovaná zvýšená flexibilita, adaptabilita a dynamický rozvoj zaměstnávání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Opatření proti nezaměstnanosti (mladých lidí) a nízkým mírám pracovní aktivity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Podpora zlepšování pracovního trhu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Zaměření na nové poptávky po lokalitách a nové výzvy pro regionální pracovní trh (včetně systémů školení)</w:t>
            </w:r>
          </w:p>
        </w:tc>
        <w:tc>
          <w:tcPr>
            <w:tcW w:w="1693" w:type="pct"/>
            <w:shd w:val="clear" w:color="auto" w:fill="F2F2F2" w:themeFill="background1" w:themeFillShade="F2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TC byl ZAMÍTNUT z těchto důvodů: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Provázanost s jinými fondy SSR/vymezení vůči ostatním fondům SSR, tyto výzvy a potřeby budou efektivněji řešeny prostřednictvím ESF.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Problémy zaměstnanosti jsou v rámci programu CENTRAL EUROPE považovány za horizontální problém a podpora specifických sektorů a zaměření na posílení kompetencí a dovedností (pokrytých v rámci TC1, TC4 a TC7, např. energie z obnovitelných zdrojů, ekologické inovace, inteligentní specializace) tudíž přispěje ke zlepšení ekonomické výkonnosti.</w:t>
            </w:r>
          </w:p>
          <w:p w:rsidR="00545214" w:rsidRPr="008C7906" w:rsidRDefault="00545214" w:rsidP="00721253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Pracovní trhy jsou silně určovány národní legislativou, programy nadnárodní spolupráce tak budou mít v porovnání s národně/regionálně určovanými fondy SSR dosti omezený pákový efekt.</w:t>
            </w:r>
          </w:p>
        </w:tc>
      </w:tr>
      <w:tr w:rsidR="00545214" w:rsidRPr="008C7906" w:rsidTr="00E37855">
        <w:trPr>
          <w:trHeight w:val="20"/>
        </w:trPr>
        <w:tc>
          <w:tcPr>
            <w:tcW w:w="867" w:type="pct"/>
            <w:shd w:val="clear" w:color="auto" w:fill="F2F2F2" w:themeFill="background1" w:themeFillShade="F2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t>9. Podpora sociálního začleňování a boj proti chudobě</w:t>
            </w:r>
          </w:p>
        </w:tc>
        <w:tc>
          <w:tcPr>
            <w:tcW w:w="1245" w:type="pct"/>
            <w:shd w:val="clear" w:color="auto" w:fill="F2F2F2" w:themeFill="background1" w:themeFillShade="F2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Prostorová diverzita v příjmech na obyvatele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Jasné rozdělení mezi východem a západem, pokud jde o sociální služby (zdravotnictví, děti, starší občané)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lastRenderedPageBreak/>
              <w:t>Rozdíly mezi vylidňujícími se a rostoucími regiony se objevují v geograficky krátkých vzdálenostech</w:t>
            </w:r>
          </w:p>
        </w:tc>
        <w:tc>
          <w:tcPr>
            <w:tcW w:w="1195" w:type="pct"/>
            <w:shd w:val="clear" w:color="auto" w:fill="F2F2F2" w:themeFill="background1" w:themeFillShade="F2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lastRenderedPageBreak/>
              <w:t>Vyřešit ekonomické disproporce a snížit segregaci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Řešit problémy vyplývající ze stárnoucí společnosti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lastRenderedPageBreak/>
              <w:t>Efektivnější sociální integrace a sítě spolupráce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Zabezpečené základní služby na místní i regionální úrovni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Řešit problém vzrůstající chudoby (vzrůstajícího rizika chudoby)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Zabránit prostorové polarizaci a zajistit genderovou rovnost a nediskriminaci</w:t>
            </w:r>
          </w:p>
          <w:p w:rsidR="00545214" w:rsidRPr="008C7906" w:rsidRDefault="00545214" w:rsidP="001507A8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Zlepšená situace etnik, menšin, různorodých kultur</w:t>
            </w:r>
          </w:p>
        </w:tc>
        <w:tc>
          <w:tcPr>
            <w:tcW w:w="1693" w:type="pct"/>
            <w:shd w:val="clear" w:color="auto" w:fill="F2F2F2" w:themeFill="background1" w:themeFillShade="F2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lastRenderedPageBreak/>
              <w:t>TC byl ZAMÍTNUT z těchto důvodů: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Provázanost s jinými fondy SSR/vymezení vůči ostatním fondům SSR, tyto výzvy a potřeby budou efektivněji řešeny prostřednictvím ESF.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lastRenderedPageBreak/>
              <w:t>Otázky sociální politiky jsou pevně určovány národní legislativou, programy nadnárodní spolupráce tak budou mít v porovnání s národně/regionálně určovanými fondy dosti omezený pákový efekt SSR.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Identifikované potřeby není možné i přes jejich nadnárodní povahu efektivně řešit prostřednictvím programu nadnárodní spolupráce – např. služby obecného hospodářského zájmu budou potřebovat oporu ve formě investic, což rozpočty programů nadnárodní spolupráce nemusí pokrýt.</w:t>
            </w:r>
          </w:p>
          <w:p w:rsidR="00545214" w:rsidRPr="008C7906" w:rsidRDefault="001507A8" w:rsidP="001507A8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Otázka rovných příležitostí a nediskriminace bude považována za horizontální problém u všech tematických cílů vybraných v rámci programu CENTRAL EUROPE a implementovaných prostřednictvím výběru a monitorování operací.</w:t>
            </w:r>
          </w:p>
        </w:tc>
      </w:tr>
      <w:tr w:rsidR="00545214" w:rsidRPr="008C7906" w:rsidTr="00E37855">
        <w:trPr>
          <w:trHeight w:val="20"/>
        </w:trPr>
        <w:tc>
          <w:tcPr>
            <w:tcW w:w="867" w:type="pct"/>
            <w:shd w:val="clear" w:color="auto" w:fill="F2F2F2" w:themeFill="background1" w:themeFillShade="F2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lastRenderedPageBreak/>
              <w:t>10. Investice do vzdělávání, dovedností a celoživotního vzdělávání</w:t>
            </w:r>
          </w:p>
        </w:tc>
        <w:tc>
          <w:tcPr>
            <w:tcW w:w="1245" w:type="pct"/>
            <w:shd w:val="clear" w:color="auto" w:fill="F2F2F2" w:themeFill="background1" w:themeFillShade="F2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Proměnlivé úrovně a kvalita vzdělání</w:t>
            </w:r>
          </w:p>
        </w:tc>
        <w:tc>
          <w:tcPr>
            <w:tcW w:w="1195" w:type="pct"/>
            <w:shd w:val="clear" w:color="auto" w:fill="F2F2F2" w:themeFill="background1" w:themeFillShade="F2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Větší účast na vzdělávání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Zlepšené celoživotní vzdělávání a metodika </w:t>
            </w:r>
          </w:p>
          <w:p w:rsidR="00545214" w:rsidRPr="008C7906" w:rsidRDefault="0059614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Snížené tendence k vylidňování v periferních regionech</w:t>
            </w:r>
          </w:p>
        </w:tc>
        <w:tc>
          <w:tcPr>
            <w:tcW w:w="1693" w:type="pct"/>
            <w:shd w:val="clear" w:color="auto" w:fill="F2F2F2" w:themeFill="background1" w:themeFillShade="F2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TC byl ZAMÍTNUT z těchto důvodů: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Provázanost s jinými fondy SSR/vymezení vůči ostatním fondům SSR, tyto výzvy a potřeby budou efektivněji řešeny prostřednictvím ESF, EFRR a EZFRV, v nichž bude vzdělávání a školení implementováno jako horizontální cíl</w:t>
            </w:r>
          </w:p>
          <w:p w:rsidR="00545214" w:rsidRPr="008C7906" w:rsidRDefault="00545214" w:rsidP="00596144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Na hlavní problémy, např. v oblasti vzdělávání, se zaměřují intervence v rámci TC1, například v oblasti posílení kompetencí a dovedností pro ekonomické a sociální inovace.</w:t>
            </w:r>
          </w:p>
        </w:tc>
      </w:tr>
      <w:tr w:rsidR="00545214" w:rsidRPr="008C7906" w:rsidTr="00E37855">
        <w:trPr>
          <w:trHeight w:val="20"/>
        </w:trPr>
        <w:tc>
          <w:tcPr>
            <w:tcW w:w="867" w:type="pct"/>
            <w:shd w:val="clear" w:color="auto" w:fill="F2F2F2" w:themeFill="background1" w:themeFillShade="F2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</w:rPr>
              <w:t>11. Zvyšování institucionální kapacity a efektivní veřejná správa</w:t>
            </w:r>
          </w:p>
        </w:tc>
        <w:tc>
          <w:tcPr>
            <w:tcW w:w="1245" w:type="pct"/>
            <w:shd w:val="clear" w:color="auto" w:fill="F2F2F2" w:themeFill="background1" w:themeFillShade="F2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Nízká úroveň spolupráce mezi veřejnými orgány a zapojení veřejnosti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Nízká úroveň elektronické státní správy v některých regionech</w:t>
            </w:r>
          </w:p>
        </w:tc>
        <w:tc>
          <w:tcPr>
            <w:tcW w:w="1195" w:type="pct"/>
            <w:shd w:val="clear" w:color="auto" w:fill="F2F2F2" w:themeFill="background1" w:themeFillShade="F2"/>
            <w:hideMark/>
          </w:tcPr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Zaměření na průřezový přístup, který bude propojovat různé úrovně státní správy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 xml:space="preserve">Zvýšená efektivita veřejného sektoru 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Zvýšená úroveň místní samosprávy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 w:cstheme="minorBidi"/>
                <w:sz w:val="16"/>
              </w:rPr>
              <w:t>Větší spolupráce na institucionální, politické a správní úrovni</w:t>
            </w:r>
          </w:p>
        </w:tc>
        <w:tc>
          <w:tcPr>
            <w:tcW w:w="1693" w:type="pct"/>
            <w:shd w:val="clear" w:color="auto" w:fill="F2F2F2" w:themeFill="background1" w:themeFillShade="F2"/>
            <w:hideMark/>
          </w:tcPr>
          <w:p w:rsidR="00545214" w:rsidRPr="008C7906" w:rsidRDefault="00545214" w:rsidP="00DD5B9F">
            <w:pPr>
              <w:spacing w:before="20" w:after="20" w:line="240" w:lineRule="auto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TC byl ZAMÍTNUT z těchto důvodů:</w:t>
            </w:r>
          </w:p>
          <w:p w:rsidR="00545214" w:rsidRPr="008C7906" w:rsidRDefault="00545214" w:rsidP="008C7906">
            <w:pPr>
              <w:numPr>
                <w:ilvl w:val="0"/>
                <w:numId w:val="2"/>
              </w:numPr>
              <w:spacing w:before="20" w:after="20" w:line="240" w:lineRule="auto"/>
              <w:ind w:left="170" w:hanging="170"/>
              <w:jc w:val="left"/>
              <w:rPr>
                <w:rFonts w:ascii="Trebuchet MS" w:hAnsi="Trebuchet MS" w:cstheme="minorBidi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</w:rPr>
              <w:t>Hlavní problémy čili potřeba zvýšit institucionální kapacitu se jako důležitý horizontální problém řeší v rámci všech tematických cílů programu CENTRAL EUROPE</w:t>
            </w:r>
          </w:p>
          <w:p w:rsidR="00545214" w:rsidRPr="008C7906" w:rsidRDefault="00545214" w:rsidP="0042605B">
            <w:pPr>
              <w:spacing w:before="20" w:after="20" w:line="240" w:lineRule="auto"/>
              <w:ind w:left="170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:rsidR="008B6F45" w:rsidRPr="008C7906" w:rsidRDefault="008B6F45" w:rsidP="008C7906">
      <w:pPr>
        <w:rPr>
          <w:rFonts w:ascii="Trebuchet MS" w:hAnsi="Trebuchet MS"/>
        </w:rPr>
      </w:pPr>
    </w:p>
    <w:sectPr w:rsidR="008B6F45" w:rsidRPr="008C7906" w:rsidSect="008C7906">
      <w:footerReference w:type="even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9E2" w:rsidRDefault="006D49E2" w:rsidP="008C7906">
      <w:pPr>
        <w:spacing w:after="0" w:line="240" w:lineRule="auto"/>
      </w:pPr>
      <w:r>
        <w:separator/>
      </w:r>
    </w:p>
  </w:endnote>
  <w:endnote w:type="continuationSeparator" w:id="0">
    <w:p w:rsidR="006D49E2" w:rsidRDefault="006D49E2" w:rsidP="008C7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umnst777 Lt BT">
    <w:altName w:val="Lucida Sans Unicode"/>
    <w:charset w:val="00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971" w:rsidRPr="00BD41E4" w:rsidRDefault="00763698" w:rsidP="006D313B">
    <w:pPr>
      <w:pStyle w:val="Seitenzahl2"/>
      <w:tabs>
        <w:tab w:val="clear" w:pos="8222"/>
        <w:tab w:val="right" w:pos="13467"/>
      </w:tabs>
      <w:rPr>
        <w:rStyle w:val="slostrnky"/>
        <w:color w:val="808080" w:themeColor="background1" w:themeShade="80"/>
      </w:rPr>
    </w:pPr>
    <w:r w:rsidRPr="00BD41E4">
      <w:rPr>
        <w:rStyle w:val="slostrnky"/>
        <w:color w:val="808080" w:themeColor="background1" w:themeShade="80"/>
      </w:rPr>
      <w:fldChar w:fldCharType="begin"/>
    </w:r>
    <w:r w:rsidRPr="00BD41E4">
      <w:rPr>
        <w:rStyle w:val="slostrnky"/>
        <w:color w:val="808080" w:themeColor="background1" w:themeShade="80"/>
      </w:rPr>
      <w:instrText xml:space="preserve"> PAGE </w:instrText>
    </w:r>
    <w:r w:rsidRPr="00BD41E4">
      <w:rPr>
        <w:rStyle w:val="slostrnky"/>
        <w:color w:val="808080" w:themeColor="background1" w:themeShade="80"/>
      </w:rPr>
      <w:fldChar w:fldCharType="separate"/>
    </w:r>
    <w:r>
      <w:rPr>
        <w:rStyle w:val="slostrnky"/>
        <w:noProof/>
        <w:color w:val="808080" w:themeColor="background1" w:themeShade="80"/>
      </w:rPr>
      <w:t>124</w:t>
    </w:r>
    <w:r w:rsidRPr="00BD41E4">
      <w:rPr>
        <w:rStyle w:val="slostrnky"/>
        <w:color w:val="808080" w:themeColor="background1" w:themeShade="80"/>
      </w:rPr>
      <w:fldChar w:fldCharType="end"/>
    </w:r>
    <w:r>
      <w:tab/>
    </w:r>
    <w:r w:rsidRPr="00BD41E4">
      <w:rPr>
        <w:rStyle w:val="slostrnky"/>
        <w:color w:val="808080" w:themeColor="background1" w:themeShade="80"/>
      </w:rPr>
      <w:sym w:font="Symbol" w:char="F0BD"/>
    </w:r>
    <w:r>
      <w:tab/>
    </w:r>
    <w:r>
      <w:rPr>
        <w:rStyle w:val="slostrnky"/>
        <w:color w:val="808080" w:themeColor="background1" w:themeShade="80"/>
      </w:rPr>
      <w:t>červenec 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971" w:rsidRPr="00BD41E4" w:rsidRDefault="00763698" w:rsidP="00BD5F96">
    <w:pPr>
      <w:pStyle w:val="Zpat"/>
      <w:tabs>
        <w:tab w:val="clear" w:pos="4536"/>
        <w:tab w:val="clear" w:pos="9072"/>
        <w:tab w:val="right" w:pos="13467"/>
        <w:tab w:val="right" w:pos="13892"/>
      </w:tabs>
      <w:spacing w:after="0" w:line="240" w:lineRule="auto"/>
      <w:jc w:val="left"/>
      <w:rPr>
        <w:rStyle w:val="slostrnky"/>
        <w:color w:val="808080" w:themeColor="background1" w:themeShade="80"/>
      </w:rPr>
    </w:pPr>
    <w:r>
      <w:tab/>
    </w:r>
    <w:r w:rsidRPr="00BD41E4">
      <w:rPr>
        <w:rStyle w:val="slostrnky"/>
        <w:color w:val="808080" w:themeColor="background1" w:themeShade="80"/>
      </w:rPr>
      <w:sym w:font="Symbol" w:char="F0BD"/>
    </w:r>
    <w:r>
      <w:tab/>
    </w:r>
    <w:r w:rsidRPr="00BD41E4">
      <w:rPr>
        <w:rStyle w:val="slostrnky"/>
        <w:color w:val="808080" w:themeColor="background1" w:themeShade="80"/>
      </w:rPr>
      <w:fldChar w:fldCharType="begin"/>
    </w:r>
    <w:r w:rsidRPr="00BD41E4">
      <w:rPr>
        <w:rStyle w:val="slostrnky"/>
        <w:color w:val="808080" w:themeColor="background1" w:themeShade="80"/>
      </w:rPr>
      <w:instrText xml:space="preserve"> PAGE </w:instrText>
    </w:r>
    <w:r w:rsidRPr="00BD41E4">
      <w:rPr>
        <w:rStyle w:val="slostrnky"/>
        <w:color w:val="808080" w:themeColor="background1" w:themeShade="80"/>
      </w:rPr>
      <w:fldChar w:fldCharType="separate"/>
    </w:r>
    <w:r w:rsidR="00CD6119">
      <w:rPr>
        <w:rStyle w:val="slostrnky"/>
        <w:noProof/>
        <w:color w:val="808080" w:themeColor="background1" w:themeShade="80"/>
      </w:rPr>
      <w:t>1</w:t>
    </w:r>
    <w:r w:rsidRPr="00BD41E4">
      <w:rPr>
        <w:rStyle w:val="slostrnky"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9E2" w:rsidRDefault="006D49E2" w:rsidP="008C7906">
      <w:pPr>
        <w:spacing w:after="0" w:line="240" w:lineRule="auto"/>
      </w:pPr>
      <w:r>
        <w:separator/>
      </w:r>
    </w:p>
  </w:footnote>
  <w:footnote w:type="continuationSeparator" w:id="0">
    <w:p w:rsidR="006D49E2" w:rsidRDefault="006D49E2" w:rsidP="008C7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093524"/>
    <w:multiLevelType w:val="hybridMultilevel"/>
    <w:tmpl w:val="D75C96F8"/>
    <w:lvl w:ilvl="0" w:tplc="2154144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Humnst777 Lt BT" w:hAnsi="Humnst777 Lt BT" w:cs="Arial" w:hint="default"/>
        <w:b w:val="0"/>
        <w:i w:val="0"/>
        <w:color w:val="auto"/>
        <w:szCs w:val="22"/>
      </w:rPr>
    </w:lvl>
    <w:lvl w:ilvl="1" w:tplc="45809AA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DAB0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76D3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4E002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14A1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A093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AE98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0496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58533E69"/>
    <w:multiLevelType w:val="hybridMultilevel"/>
    <w:tmpl w:val="1F623682"/>
    <w:lvl w:ilvl="0" w:tplc="85C445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auto"/>
        <w:sz w:val="16"/>
        <w:szCs w:val="22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06"/>
    <w:rsid w:val="00044F00"/>
    <w:rsid w:val="001507A8"/>
    <w:rsid w:val="001E340F"/>
    <w:rsid w:val="00260C17"/>
    <w:rsid w:val="002B2C35"/>
    <w:rsid w:val="002D2D59"/>
    <w:rsid w:val="003B40BC"/>
    <w:rsid w:val="0042605B"/>
    <w:rsid w:val="00545214"/>
    <w:rsid w:val="00596144"/>
    <w:rsid w:val="005A5823"/>
    <w:rsid w:val="006D49E2"/>
    <w:rsid w:val="006F4251"/>
    <w:rsid w:val="00717F9D"/>
    <w:rsid w:val="00721253"/>
    <w:rsid w:val="00763698"/>
    <w:rsid w:val="0081573F"/>
    <w:rsid w:val="00896433"/>
    <w:rsid w:val="008B6F45"/>
    <w:rsid w:val="008C7906"/>
    <w:rsid w:val="00960B87"/>
    <w:rsid w:val="009621FE"/>
    <w:rsid w:val="00B71632"/>
    <w:rsid w:val="00B95DE0"/>
    <w:rsid w:val="00BE4CA4"/>
    <w:rsid w:val="00CD6119"/>
    <w:rsid w:val="00E01EF8"/>
    <w:rsid w:val="00E3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E3EFB8-BF55-430F-815F-2AA9A0F9B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cs-CZ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C7906"/>
    <w:pPr>
      <w:spacing w:after="240" w:line="280" w:lineRule="atLeast"/>
      <w:jc w:val="both"/>
    </w:pPr>
    <w:rPr>
      <w:rFonts w:ascii="Arial" w:eastAsia="Times New Roman" w:hAnsi="Arial" w:cs="Times New Roman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C79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elle">
    <w:name w:val="Tabelle"/>
    <w:basedOn w:val="Normln"/>
    <w:qFormat/>
    <w:rsid w:val="008C7906"/>
    <w:pPr>
      <w:spacing w:before="40" w:after="40" w:line="240" w:lineRule="auto"/>
      <w:jc w:val="left"/>
    </w:pPr>
    <w:rPr>
      <w:rFonts w:ascii="Arial Narrow" w:hAnsi="Arial Narrow" w:cs="Arial"/>
      <w:sz w:val="18"/>
    </w:rPr>
  </w:style>
  <w:style w:type="paragraph" w:styleId="Zpat">
    <w:name w:val="footer"/>
    <w:aliases w:val="Footer 2"/>
    <w:basedOn w:val="Normln"/>
    <w:link w:val="ZpatChar"/>
    <w:semiHidden/>
    <w:rsid w:val="008C7906"/>
    <w:pPr>
      <w:tabs>
        <w:tab w:val="center" w:pos="4536"/>
        <w:tab w:val="right" w:pos="9072"/>
      </w:tabs>
    </w:pPr>
  </w:style>
  <w:style w:type="character" w:customStyle="1" w:styleId="ZpatChar">
    <w:name w:val="Zápatí Char"/>
    <w:aliases w:val="Footer 2 Char"/>
    <w:basedOn w:val="Standardnpsmoodstavce"/>
    <w:link w:val="Zpat"/>
    <w:semiHidden/>
    <w:rsid w:val="008C7906"/>
    <w:rPr>
      <w:rFonts w:ascii="Arial" w:eastAsia="Times New Roman" w:hAnsi="Arial" w:cs="Times New Roman"/>
      <w:sz w:val="20"/>
      <w:szCs w:val="20"/>
      <w:lang w:val="cs-CZ" w:eastAsia="cs-CZ"/>
    </w:rPr>
  </w:style>
  <w:style w:type="character" w:styleId="slostrnky">
    <w:name w:val="page number"/>
    <w:basedOn w:val="Standardnpsmoodstavce"/>
    <w:semiHidden/>
    <w:rsid w:val="008C7906"/>
    <w:rPr>
      <w:rFonts w:ascii="Arial Narrow" w:hAnsi="Arial Narrow"/>
      <w:color w:val="999999"/>
      <w:sz w:val="20"/>
    </w:rPr>
  </w:style>
  <w:style w:type="paragraph" w:customStyle="1" w:styleId="Seitenzahl2">
    <w:name w:val="Seitenzahl2"/>
    <w:basedOn w:val="Zpat"/>
    <w:rsid w:val="008C7906"/>
    <w:pPr>
      <w:shd w:val="clear" w:color="000000" w:fill="auto"/>
      <w:tabs>
        <w:tab w:val="clear" w:pos="4536"/>
        <w:tab w:val="clear" w:pos="9072"/>
        <w:tab w:val="left" w:pos="-57"/>
        <w:tab w:val="right" w:pos="8222"/>
      </w:tabs>
      <w:spacing w:after="0" w:line="240" w:lineRule="auto"/>
      <w:ind w:left="-454"/>
      <w:jc w:val="left"/>
    </w:pPr>
    <w:rPr>
      <w:rFonts w:ascii="Arial Narrow" w:hAnsi="Arial Narrow" w:cs="Arial"/>
      <w:bCs/>
      <w:color w:val="808080"/>
    </w:rPr>
  </w:style>
  <w:style w:type="paragraph" w:customStyle="1" w:styleId="berschrift2ohne">
    <w:name w:val="Überschrift 2 ohne"/>
    <w:basedOn w:val="Nadpis2"/>
    <w:qFormat/>
    <w:rsid w:val="008C7906"/>
    <w:pPr>
      <w:keepLines w:val="0"/>
      <w:spacing w:before="0" w:after="240"/>
      <w:ind w:left="709" w:hanging="709"/>
      <w:jc w:val="left"/>
    </w:pPr>
    <w:rPr>
      <w:rFonts w:ascii="Arial Narrow" w:eastAsia="Times New Roman" w:hAnsi="Arial Narrow" w:cs="Times New Roman"/>
      <w:b w:val="0"/>
      <w:bCs w:val="0"/>
      <w:snapToGrid w:val="0"/>
      <w:color w:val="auto"/>
      <w:sz w:val="28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C79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cs-CZ" w:eastAsia="cs-CZ"/>
    </w:rPr>
  </w:style>
  <w:style w:type="paragraph" w:styleId="Zhlav">
    <w:name w:val="header"/>
    <w:basedOn w:val="Normln"/>
    <w:link w:val="ZhlavChar"/>
    <w:uiPriority w:val="99"/>
    <w:unhideWhenUsed/>
    <w:rsid w:val="008C79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C7906"/>
    <w:rPr>
      <w:rFonts w:ascii="Arial" w:eastAsia="Times New Roman" w:hAnsi="Arial" w:cs="Times New Roman"/>
      <w:sz w:val="20"/>
      <w:szCs w:val="20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340F"/>
    <w:pPr>
      <w:spacing w:after="0" w:line="240" w:lineRule="auto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340F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2238</Words>
  <Characters>13209</Characters>
  <Application>Microsoft Office Word</Application>
  <DocSecurity>0</DocSecurity>
  <Lines>110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Schönerklee-Grasser Monika</dc:creator>
  <cp:lastModifiedBy>Roman Varga</cp:lastModifiedBy>
  <cp:revision>18</cp:revision>
  <cp:lastPrinted>2013-11-08T11:29:00Z</cp:lastPrinted>
  <dcterms:created xsi:type="dcterms:W3CDTF">2013-11-04T09:03:00Z</dcterms:created>
  <dcterms:modified xsi:type="dcterms:W3CDTF">2014-03-17T14:47:00Z</dcterms:modified>
</cp:coreProperties>
</file>